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24"/>
    <w:p>
      <w:pPr>
        <w:pStyle w:val="Heading1"/>
      </w:pPr>
      <w:r>
        <w:t xml:space="preserve">Homiletics Analysis: Deuteronomy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24 is a collection of legal rulings and humanitarian statutes governing covenant community life in Israel. The chapter opens with legislation on divorce and remarriage (vv. 1–4), establishing limits on a husband’s power to reclaim a wife he has dismissed. It moves to a series of protective statutes: exemption of a newly married man from military service (vv. 5), prohibition on seizing millstones as pledges (v. 6), prohibition on kidnapping Israelites for slavery (v. 7), instruction to observe Levitical rulings on skin diseases (v. 8), and careful pledge and wage laws protecting the poor (vv. 10–15). The chapter then addresses individual culpability in judicial proceedings (v. 16), protection of resident aliens, orphans, and widows (v. 17), and concludes with gleaning laws — leaving portions of the harvest for the poor and vulnerable (vv. 19–22). Throughout, the chapter holds together legal precision with compassionate social concern, and repeatedly grounds the humanitarian obligations of the covenant people in their own experience of slavery and redemption from Egypt.</w:t>
      </w:r>
    </w:p>
    <w:p>
      <w:pPr>
        <w:pStyle w:val="BodyText"/>
      </w:pPr>
      <w:r>
        <w:rPr>
          <w:b/>
          <w:bCs/>
        </w:rPr>
        <w:t xml:space="preserve">This Text — Intent:</w:t>
      </w:r>
    </w:p>
    <w:p>
      <w:pPr>
        <w:pStyle w:val="BodyText"/>
      </w:pPr>
      <w:r>
        <w:t xml:space="preserve">God is seeking to shape a people whose communal life reflects the character of the Redeemer who delivered them. The statutes are not merely humanitarian policy — they are identity formation. The recurring refrain</w:t>
      </w:r>
      <w:r>
        <w:t xml:space="preserve"> </w:t>
      </w:r>
      <w:r>
        <w:t xml:space="preserve">“remember that you were a slave in Egypt”</w:t>
      </w:r>
      <w:r>
        <w:t xml:space="preserve"> </w:t>
      </w:r>
      <w:r>
        <w:t xml:space="preserve">(vv. 18, 22) functions as the engine beneath every ruling: those who have been shown mercy must construct communities structured around mercy. God’s intent is not compliance with a social code but the formation of a redeemed imagination — a community whose treatment of the weak, the poor, the widow, the alien, and the debtor displays the character of the God who redeemed them when they were themselves weak, foreign, and enslaved.</w:t>
      </w:r>
    </w:p>
    <w:p>
      <w:r>
        <w:pict>
          <v:rect style="width:0;height:1.5pt" o:hralign="center" o:hrstd="t" o:hr="t"/>
        </w:pict>
      </w:r>
    </w:p>
    <w:p>
      <w:pPr>
        <w:pStyle w:val="FirstParagraph"/>
      </w:pPr>
      <w:r>
        <w:rPr>
          <w:b/>
          <w:bCs/>
        </w:rPr>
        <w:t xml:space="preserve">Subject Sentence:</w:t>
      </w:r>
      <w:r>
        <w:t xml:space="preserve"> </w:t>
      </w:r>
      <w:r>
        <w:t xml:space="preserve">Redeemed people reflect their Redeemer through justice and mercy toward the vulnerable.</w:t>
      </w:r>
    </w:p>
    <w:p>
      <w:r>
        <w:pict>
          <v:rect style="width:0;height:1.5pt" o:hralign="center" o:hrstd="t" o:hr="t"/>
        </w:pict>
      </w:r>
    </w:p>
    <w:p>
      <w:pPr>
        <w:pStyle w:val="FirstParagraph"/>
      </w:pPr>
      <w:r>
        <w:rPr>
          <w:b/>
          <w:bCs/>
        </w:rPr>
        <w:t xml:space="preserve">Primary Claim:</w:t>
      </w:r>
      <w:r>
        <w:t xml:space="preserve"> </w:t>
      </w:r>
      <w:r>
        <w:t xml:space="preserve">Because Israel was redeemed by grace when they were themselves the powerless and the foreign, God calls them to structure every dimension of communal life — marriage, commerce, labor, and harvest — around the protection and dignity of the weak, mirroring the character of the God who saved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divorce legislation (vv. 1–4):</w:t>
      </w:r>
      <w:r>
        <w:t xml:space="preserve"> </w:t>
      </w:r>
      <w:r>
        <w:t xml:space="preserve">The most contested portion of the chapter is the opening divorce legislation. Jesus’s engagement with this text in Matthew 19:3–9 and Mark 10:2–12 requires careful handling. A common misreading treats vv. 1–4 as God’s</w:t>
      </w:r>
      <w:r>
        <w:t xml:space="preserve"> </w:t>
      </w:r>
      <w:r>
        <w:rPr>
          <w:i/>
          <w:iCs/>
        </w:rPr>
        <w:t xml:space="preserve">endorsement</w:t>
      </w:r>
      <w:r>
        <w:t xml:space="preserve"> </w:t>
      </w:r>
      <w:r>
        <w:t xml:space="preserve">of divorce. The text is not legislation authorizing divorce — it is legislation</w:t>
      </w:r>
      <w:r>
        <w:t xml:space="preserve"> </w:t>
      </w:r>
      <w:r>
        <w:rPr>
          <w:i/>
          <w:iCs/>
        </w:rPr>
        <w:t xml:space="preserve">regulating</w:t>
      </w:r>
      <w:r>
        <w:t xml:space="preserve"> </w:t>
      </w:r>
      <w:r>
        <w:t xml:space="preserve">a practice that already existed in order to protect the dismissed wife from arbitrary re-acquisition. Moses is not saying divorce is good; he is saying that if a man dismisses his wife, he has forfeited his claim to her permanently, protecting her from being treated as property he can reclaim at will. Jesus’s reading in Matthew 19:8 is precisely this:</w:t>
      </w:r>
      <w:r>
        <w:t xml:space="preserve"> </w:t>
      </w:r>
      <w:r>
        <w:t xml:space="preserve">“Moses permitted you to divorce your wives because of the hardness of your hearts, but from the beginning it was not so.”</w:t>
      </w:r>
      <w:r>
        <w:t xml:space="preserve"> </w:t>
      </w:r>
      <w:r>
        <w:t xml:space="preserve">Reformed interpretation follows Jesus’s own hermeneutic here — this is a regulation of the fall’s effects on marriage, not a commendation of divorce. The</w:t>
      </w:r>
      <w:r>
        <w:t xml:space="preserve"> </w:t>
      </w:r>
      <w:r>
        <w:rPr>
          <w:b/>
          <w:bCs/>
        </w:rPr>
        <w:t xml:space="preserve">Wesleyan/Arminian</w:t>
      </w:r>
      <w:r>
        <w:t xml:space="preserve"> </w:t>
      </w:r>
      <w:r>
        <w:t xml:space="preserve">tradition, which places strong emphasis on moral improvement and sanctification, sometimes emphasizes the passage’s humanitarian intent without fully engaging the hardness-of-heart framing. This is worth</w:t>
      </w:r>
      <w:r>
        <w:t xml:space="preserve"> </w:t>
      </w:r>
      <w:r>
        <w:rPr>
          <w:i/>
          <w:iCs/>
        </w:rPr>
        <w:t xml:space="preserve">acknowledging</w:t>
      </w:r>
      <w:r>
        <w:t xml:space="preserve"> </w:t>
      </w:r>
      <w:r>
        <w:t xml:space="preserve">as a partial insight — the protective function of the legislation is real — but it must be</w:t>
      </w:r>
      <w:r>
        <w:t xml:space="preserve"> </w:t>
      </w:r>
      <w:r>
        <w:rPr>
          <w:i/>
          <w:iCs/>
        </w:rPr>
        <w:t xml:space="preserve">qualified</w:t>
      </w:r>
      <w:r>
        <w:t xml:space="preserve"> </w:t>
      </w:r>
      <w:r>
        <w:t xml:space="preserve">by Jesus’s interpretive frame, which treats the permission as a concession to sin, not a moral ideal. The</w:t>
      </w:r>
      <w:r>
        <w:t xml:space="preserve"> </w:t>
      </w:r>
      <w:r>
        <w:rPr>
          <w:b/>
          <w:bCs/>
        </w:rPr>
        <w:t xml:space="preserve">Roman Catholic</w:t>
      </w:r>
      <w:r>
        <w:t xml:space="preserve"> </w:t>
      </w:r>
      <w:r>
        <w:t xml:space="preserve">tradition has historically used this passage in its debates over whether marriage is absolutely indissoluble — its theology of marriage as sacrament renders the Mosaic permission more puzzling, and Catholic commentators have often argued that Deuteronomy 24 addresses legal procedure rather than the moral legitimacy of divorce. This reading is worth</w:t>
      </w:r>
      <w:r>
        <w:t xml:space="preserve"> </w:t>
      </w:r>
      <w:r>
        <w:rPr>
          <w:i/>
          <w:iCs/>
        </w:rPr>
        <w:t xml:space="preserve">acknowledging</w:t>
      </w:r>
      <w:r>
        <w:t xml:space="preserve"> </w:t>
      </w:r>
      <w:r>
        <w:t xml:space="preserve">for its precision about the text’s limited scope.</w:t>
      </w:r>
    </w:p>
    <w:p>
      <w:pPr>
        <w:pStyle w:val="BodyText"/>
      </w:pPr>
      <w:r>
        <w:rPr>
          <w:b/>
          <w:bCs/>
        </w:rPr>
        <w:t xml:space="preserve">The humanitarian statutes and their grounding:</w:t>
      </w:r>
      <w:r>
        <w:t xml:space="preserve"> </w:t>
      </w:r>
      <w:r>
        <w:t xml:space="preserve">Some</w:t>
      </w:r>
      <w:r>
        <w:t xml:space="preserve"> </w:t>
      </w:r>
      <w:r>
        <w:rPr>
          <w:b/>
          <w:bCs/>
        </w:rPr>
        <w:t xml:space="preserve">dispensational</w:t>
      </w:r>
      <w:r>
        <w:t xml:space="preserve"> </w:t>
      </w:r>
      <w:r>
        <w:t xml:space="preserve">interpreters treat these statutes as belonging strictly to the Mosaic Law’s civil code — applicable to Israel as a theocratic nation, with no direct application to the church or contemporary societies. This reading is worth</w:t>
      </w:r>
      <w:r>
        <w:t xml:space="preserve"> </w:t>
      </w:r>
      <w:r>
        <w:rPr>
          <w:i/>
          <w:iCs/>
        </w:rPr>
        <w:t xml:space="preserve">qualifying</w:t>
      </w:r>
      <w:r>
        <w:t xml:space="preserve">. While the specific civil structures belong to Israel’s national covenant, the humanitarian principles derive from the character of God (who redeems the weak) and the nature of redemption (which creates obligation toward others) — both of which apply across covenantal epochs. The New Testament’s own ethic of care for the poor, the widow, the alien, and the vulnerable (James 1:27; Galatians 6:10; Luke 14:12–14) draws on precisely these theological roots. The question of whether the</w:t>
      </w:r>
      <w:r>
        <w:t xml:space="preserve"> </w:t>
      </w:r>
      <w:r>
        <w:rPr>
          <w:i/>
          <w:iCs/>
        </w:rPr>
        <w:t xml:space="preserve">specific statutes</w:t>
      </w:r>
      <w:r>
        <w:t xml:space="preserve"> </w:t>
      </w:r>
      <w:r>
        <w:t xml:space="preserve">transfer is different from the question of whether the</w:t>
      </w:r>
      <w:r>
        <w:t xml:space="preserve"> </w:t>
      </w:r>
      <w:r>
        <w:rPr>
          <w:i/>
          <w:iCs/>
        </w:rPr>
        <w:t xml:space="preserve">theological logic</w:t>
      </w:r>
      <w:r>
        <w:t xml:space="preserve"> </w:t>
      </w:r>
      <w:r>
        <w:t xml:space="preserve">transfers — and on that second question, dispensational interpreters who deny any ongoing force must</w:t>
      </w:r>
      <w:r>
        <w:t xml:space="preserve"> </w:t>
      </w:r>
      <w:r>
        <w:rPr>
          <w:i/>
          <w:iCs/>
        </w:rPr>
        <w:t xml:space="preserve">be refuted</w:t>
      </w:r>
      <w:r>
        <w:t xml:space="preserve">, because the New Testament itself presses this logic forward.</w:t>
      </w:r>
    </w:p>
    <w:p>
      <w:pPr>
        <w:pStyle w:val="BodyText"/>
      </w:pPr>
      <w:r>
        <w:rPr>
          <w:b/>
          <w:bCs/>
        </w:rPr>
        <w:t xml:space="preserve">The gleaning laws and social ethics:</w:t>
      </w:r>
      <w:r>
        <w:t xml:space="preserve"> </w:t>
      </w:r>
      <w:r>
        <w:t xml:space="preserve">Some</w:t>
      </w:r>
      <w:r>
        <w:t xml:space="preserve"> </w:t>
      </w:r>
      <w:r>
        <w:rPr>
          <w:b/>
          <w:bCs/>
        </w:rPr>
        <w:t xml:space="preserve">liberation theology</w:t>
      </w:r>
      <w:r>
        <w:t xml:space="preserve"> </w:t>
      </w:r>
      <w:r>
        <w:t xml:space="preserve">and</w:t>
      </w:r>
      <w:r>
        <w:t xml:space="preserve"> </w:t>
      </w:r>
      <w:r>
        <w:rPr>
          <w:b/>
          <w:bCs/>
        </w:rPr>
        <w:t xml:space="preserve">progressive</w:t>
      </w:r>
      <w:r>
        <w:t xml:space="preserve"> </w:t>
      </w:r>
      <w:r>
        <w:t xml:space="preserve">interpreters have read the gleaning laws as a proto-systemic critique of economic inequality, treating them as a template for redistribution. While the gleaning laws do establish meaningful social obligation, the Reformed reading insists that these laws operate within a framework of</w:t>
      </w:r>
      <w:r>
        <w:t xml:space="preserve"> </w:t>
      </w:r>
      <w:r>
        <w:rPr>
          <w:i/>
          <w:iCs/>
        </w:rPr>
        <w:t xml:space="preserve">private property</w:t>
      </w:r>
      <w:r>
        <w:t xml:space="preserve"> </w:t>
      </w:r>
      <w:r>
        <w:t xml:space="preserve">and</w:t>
      </w:r>
      <w:r>
        <w:t xml:space="preserve"> </w:t>
      </w:r>
      <w:r>
        <w:rPr>
          <w:i/>
          <w:iCs/>
        </w:rPr>
        <w:t xml:space="preserve">voluntary obligation before God</w:t>
      </w:r>
      <w:r>
        <w:t xml:space="preserve">, not state-enforced redistribution. The</w:t>
      </w:r>
      <w:r>
        <w:t xml:space="preserve"> </w:t>
      </w:r>
      <w:r>
        <w:rPr>
          <w:i/>
          <w:iCs/>
        </w:rPr>
        <w:t xml:space="preserve">motivation</w:t>
      </w:r>
      <w:r>
        <w:t xml:space="preserve"> </w:t>
      </w:r>
      <w:r>
        <w:t xml:space="preserve">is always theological —</w:t>
      </w:r>
      <w:r>
        <w:t xml:space="preserve"> </w:t>
      </w:r>
      <w:r>
        <w:t xml:space="preserve">“I am the LORD your God”</w:t>
      </w:r>
      <w:r>
        <w:t xml:space="preserve"> </w:t>
      </w:r>
      <w:r>
        <w:t xml:space="preserve">and</w:t>
      </w:r>
      <w:r>
        <w:t xml:space="preserve"> </w:t>
      </w:r>
      <w:r>
        <w:t xml:space="preserve">“remember Egypt”</w:t>
      </w:r>
      <w:r>
        <w:t xml:space="preserve"> </w:t>
      </w:r>
      <w:r>
        <w:t xml:space="preserve">— not a social contract theory. This distinction matters for application. The gleaning laws are appropriately</w:t>
      </w:r>
      <w:r>
        <w:t xml:space="preserve"> </w:t>
      </w:r>
      <w:r>
        <w:rPr>
          <w:i/>
          <w:iCs/>
        </w:rPr>
        <w:t xml:space="preserve">acknowledged</w:t>
      </w:r>
      <w:r>
        <w:t xml:space="preserve"> </w:t>
      </w:r>
      <w:r>
        <w:t xml:space="preserve">as establishing genuine community obligation toward the poor; the liberation-theology extension to systemic redistribution</w:t>
      </w:r>
      <w:r>
        <w:t xml:space="preserve"> </w:t>
      </w:r>
      <w:r>
        <w:rPr>
          <w:i/>
          <w:iCs/>
        </w:rPr>
        <w:t xml:space="preserve">overreaches</w:t>
      </w:r>
      <w:r>
        <w:t xml:space="preserve"> </w:t>
      </w:r>
      <w:r>
        <w:t xml:space="preserve">the text’s own logic.</w:t>
      </w:r>
    </w:p>
    <w:p>
      <w:pPr>
        <w:pStyle w:val="BodyText"/>
      </w:pPr>
      <w:r>
        <w:rPr>
          <w:b/>
          <w:bCs/>
        </w:rPr>
        <w:t xml:space="preserve">Reformed verdict:</w:t>
      </w:r>
      <w:r>
        <w:t xml:space="preserve"> </w:t>
      </w:r>
      <w:r>
        <w:t xml:space="preserve">Deuteronomy 24 is best read as a collection of humanitarian statutes shaped by the theology of redemption — statutes that regulate the effects of sin (divorce legislation), protect the economically vulnerable from exploitation (pledge and wage laws), guard community integrity (kidnapping prohibition, disease laws), and establish positive obligations of provision (gleaning). The theological engine is always the character of the Redeemer and the memory of Israel’s own redemption. The chapter’s ongoing force for Christians lies not in the specific civil codes but in the theological logic those codes embody: redeemed people protect the vulnerable because they were themselves the vulnerable whom God protected.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19:3–9</w:t>
      </w:r>
      <w:r>
        <w:t xml:space="preserve"> </w:t>
      </w:r>
      <w:r>
        <w:t xml:space="preserve">— Jesus’s direct engagement with Deuteronomy 24:1–4, establishing that the divorce permission is a concession to hardness of heart, not God’s creational design; grounds the Reformed reading of the opening legislation.</w:t>
      </w:r>
    </w:p>
    <w:p>
      <w:pPr>
        <w:numPr>
          <w:ilvl w:val="0"/>
          <w:numId w:val="1001"/>
        </w:numPr>
      </w:pPr>
      <w:r>
        <w:rPr>
          <w:b/>
          <w:bCs/>
        </w:rPr>
        <w:t xml:space="preserve">Leviticus 19:9–10, 33–34</w:t>
      </w:r>
      <w:r>
        <w:t xml:space="preserve"> </w:t>
      </w:r>
      <w:r>
        <w:t xml:space="preserve">— The gleaning laws and alien-protection statutes in their earlier Levitical form, demonstrating the consistency of God’s character-based humanitarian obligation across the Mosaic corpus.</w:t>
      </w:r>
    </w:p>
    <w:p>
      <w:pPr>
        <w:numPr>
          <w:ilvl w:val="0"/>
          <w:numId w:val="1001"/>
        </w:numPr>
      </w:pPr>
      <w:r>
        <w:rPr>
          <w:b/>
          <w:bCs/>
        </w:rPr>
        <w:t xml:space="preserve">James 1:27; 2:14–17</w:t>
      </w:r>
      <w:r>
        <w:t xml:space="preserve"> </w:t>
      </w:r>
      <w:r>
        <w:t xml:space="preserve">— New Testament restatement of the same theological logic: genuine religion cares for the widow and orphan; faith that does not express itself in care for the vulnerable is not living faith; the humanitarian engine of Deuteronomy 24 runs directly into the New Testament’s ethics of mercy.</w:t>
      </w:r>
    </w:p>
    <w:p>
      <w:pPr>
        <w:numPr>
          <w:ilvl w:val="0"/>
          <w:numId w:val="1001"/>
        </w:numPr>
      </w:pPr>
      <w:r>
        <w:rPr>
          <w:b/>
          <w:bCs/>
        </w:rPr>
        <w:t xml:space="preserve">Ruth 2</w:t>
      </w:r>
      <w:r>
        <w:t xml:space="preserve"> </w:t>
      </w:r>
      <w:r>
        <w:t xml:space="preserve">— The gleaning laws of Deuteronomy 24:19–22 in narrative form: Boaz’s obedience to the gleaning obligation, and the redemptive outcome it produces, provides a canonical illustration of how these statutes function within the life of a redeemed community.</w:t>
      </w:r>
    </w:p>
    <w:p>
      <w:pPr>
        <w:numPr>
          <w:ilvl w:val="0"/>
          <w:numId w:val="1001"/>
        </w:numPr>
      </w:pPr>
      <w:r>
        <w:rPr>
          <w:b/>
          <w:bCs/>
        </w:rPr>
        <w:t xml:space="preserve">2 Corinthians 8:9</w:t>
      </w:r>
      <w:r>
        <w:t xml:space="preserve"> </w:t>
      </w:r>
      <w:r>
        <w:t xml:space="preserve">—</w:t>
      </w:r>
      <w:r>
        <w:t xml:space="preserve"> </w:t>
      </w:r>
      <w:r>
        <w:t xml:space="preserve">“Though he was rich, yet for your sake he became poor, so that you through his poverty might become rich”</w:t>
      </w:r>
      <w:r>
        <w:t xml:space="preserve"> </w:t>
      </w:r>
      <w:r>
        <w:t xml:space="preserve">— the ultimate ground of all obligation to protect the vulnerable: Christ himself became the alien, the orphan, the dispossessed, so that the redeemed might have every reason to serve others with exactly that generosity.</w:t>
      </w:r>
    </w:p>
    <w:p>
      <w:r>
        <w:pict>
          <v:rect style="width:0;height:1.5pt" o:hralign="center" o:hrstd="t" o:hr="t"/>
        </w:pict>
      </w:r>
    </w:p>
    <w:p>
      <w:pPr>
        <w:pStyle w:val="FirstParagraph"/>
      </w:pPr>
      <w:r>
        <w:rPr>
          <w:b/>
          <w:bCs/>
        </w:rPr>
        <w:t xml:space="preserve">Aim:</w:t>
      </w:r>
      <w:r>
        <w:t xml:space="preserve"> </w:t>
      </w:r>
      <w:r>
        <w:t xml:space="preserve">To move readers to see that every dimension of communal and economic life — how they treat employees, debtors, the poor, the alien, the divorced — is a theological act that either displays or contradicts the character of the God who redeemed them when they were themselves powerless.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Divorce and remarriage legislation: a man who dismisses his wife may not reclaim her after she has remarried; the bill of divorce protects the woman from arbitrary re-acquisition</w:t>
            </w:r>
          </w:p>
        </w:tc>
        <w:tc>
          <w:tcPr/>
          <w:p>
            <w:pPr>
              <w:pStyle w:val="Compact"/>
            </w:pPr>
            <w:r>
              <w:t xml:space="preserve">This is</w:t>
            </w:r>
            <w:r>
              <w:t xml:space="preserve"> </w:t>
            </w:r>
            <w:r>
              <w:rPr>
                <w:i/>
                <w:iCs/>
              </w:rPr>
              <w:t xml:space="preserve">regulation</w:t>
            </w:r>
            <w:r>
              <w:t xml:space="preserve"> </w:t>
            </w:r>
            <w:r>
              <w:t xml:space="preserve">of divorce’s effects, not authorization; v. 4 grounds the prohibition in the land not being defiled</w:t>
            </w:r>
          </w:p>
        </w:tc>
      </w:tr>
      <w:tr>
        <w:tc>
          <w:tcPr/>
          <w:p>
            <w:pPr>
              <w:pStyle w:val="Compact"/>
            </w:pPr>
            <w:r>
              <w:t xml:space="preserve">5</w:t>
            </w:r>
          </w:p>
        </w:tc>
        <w:tc>
          <w:tcPr/>
          <w:p>
            <w:pPr>
              <w:pStyle w:val="Compact"/>
            </w:pPr>
            <w:r>
              <w:t xml:space="preserve">Newly married men exempt from military service for one year, to remain home and bring happiness to his wife</w:t>
            </w:r>
          </w:p>
        </w:tc>
        <w:tc>
          <w:tcPr/>
          <w:p>
            <w:pPr>
              <w:pStyle w:val="Compact"/>
            </w:pPr>
            <w:r>
              <w:t xml:space="preserve">Protects nascent marriages; affirms the covenant institution of marriage as a social priority</w:t>
            </w:r>
          </w:p>
        </w:tc>
      </w:tr>
      <w:tr>
        <w:tc>
          <w:tcPr/>
          <w:p>
            <w:pPr>
              <w:pStyle w:val="Compact"/>
            </w:pPr>
            <w:r>
              <w:t xml:space="preserve">6</w:t>
            </w:r>
          </w:p>
        </w:tc>
        <w:tc>
          <w:tcPr/>
          <w:p>
            <w:pPr>
              <w:pStyle w:val="Compact"/>
            </w:pPr>
            <w:r>
              <w:t xml:space="preserve">Prohibition on taking millstones as pledge security; this would deprive a household of the means to prepare daily bread</w:t>
            </w:r>
          </w:p>
        </w:tc>
        <w:tc>
          <w:tcPr/>
          <w:p>
            <w:pPr>
              <w:pStyle w:val="Compact"/>
            </w:pPr>
            <w:r>
              <w:t xml:space="preserve">“Taking life as pledge”</w:t>
            </w:r>
            <w:r>
              <w:t xml:space="preserve"> </w:t>
            </w:r>
            <w:r>
              <w:t xml:space="preserve">— the poor person’s livelihood is not the creditor’s collateral</w:t>
            </w:r>
          </w:p>
        </w:tc>
      </w:tr>
      <w:tr>
        <w:tc>
          <w:tcPr/>
          <w:p>
            <w:pPr>
              <w:pStyle w:val="Compact"/>
            </w:pPr>
            <w:r>
              <w:t xml:space="preserve">7</w:t>
            </w:r>
          </w:p>
        </w:tc>
        <w:tc>
          <w:tcPr/>
          <w:p>
            <w:pPr>
              <w:pStyle w:val="Compact"/>
            </w:pPr>
            <w:r>
              <w:t xml:space="preserve">Kidnapping and enslaving an Israelite brother is a capital offense</w:t>
            </w:r>
          </w:p>
        </w:tc>
        <w:tc>
          <w:tcPr/>
          <w:p>
            <w:pPr>
              <w:pStyle w:val="Compact"/>
            </w:pPr>
            <w:r>
              <w:t xml:space="preserve">Protects the personal freedom of covenant members;</w:t>
            </w:r>
            <w:r>
              <w:t xml:space="preserve"> </w:t>
            </w:r>
            <w:r>
              <w:t xml:space="preserve">“purge the evil”</w:t>
            </w:r>
            <w:r>
              <w:t xml:space="preserve"> </w:t>
            </w:r>
            <w:r>
              <w:t xml:space="preserve">formula signals highest gravity</w:t>
            </w:r>
          </w:p>
        </w:tc>
      </w:tr>
      <w:tr>
        <w:tc>
          <w:tcPr/>
          <w:p>
            <w:pPr>
              <w:pStyle w:val="Compact"/>
            </w:pPr>
            <w:r>
              <w:t xml:space="preserve">8–9</w:t>
            </w:r>
          </w:p>
        </w:tc>
        <w:tc>
          <w:tcPr/>
          <w:p>
            <w:pPr>
              <w:pStyle w:val="Compact"/>
            </w:pPr>
            <w:r>
              <w:t xml:space="preserve">Instruction to observe Levitical rulings on skin diseases carefully; remember what God did to Miriam</w:t>
            </w:r>
          </w:p>
        </w:tc>
        <w:tc>
          <w:tcPr/>
          <w:p>
            <w:pPr>
              <w:pStyle w:val="Compact"/>
            </w:pPr>
            <w:r>
              <w:t xml:space="preserve">Appeal to memory as motivation for law observance; priestly authority affirmed</w:t>
            </w:r>
          </w:p>
        </w:tc>
      </w:tr>
      <w:tr>
        <w:tc>
          <w:tcPr/>
          <w:p>
            <w:pPr>
              <w:pStyle w:val="Compact"/>
            </w:pPr>
            <w:r>
              <w:t xml:space="preserve">10–11</w:t>
            </w:r>
          </w:p>
        </w:tc>
        <w:tc>
          <w:tcPr/>
          <w:p>
            <w:pPr>
              <w:pStyle w:val="Compact"/>
            </w:pPr>
            <w:r>
              <w:t xml:space="preserve">Creditor may not enter the debtor’s house to retrieve a pledge; the debtor brings it out</w:t>
            </w:r>
          </w:p>
        </w:tc>
        <w:tc>
          <w:tcPr/>
          <w:p>
            <w:pPr>
              <w:pStyle w:val="Compact"/>
            </w:pPr>
            <w:r>
              <w:t xml:space="preserve">Preserves the dignity and privacy of the poor even in debt; power of the creditor limited</w:t>
            </w:r>
          </w:p>
        </w:tc>
      </w:tr>
      <w:tr>
        <w:tc>
          <w:tcPr/>
          <w:p>
            <w:pPr>
              <w:pStyle w:val="Compact"/>
            </w:pPr>
            <w:r>
              <w:t xml:space="preserve">12–13</w:t>
            </w:r>
          </w:p>
        </w:tc>
        <w:tc>
          <w:tcPr/>
          <w:p>
            <w:pPr>
              <w:pStyle w:val="Compact"/>
            </w:pPr>
            <w:r>
              <w:t xml:space="preserve">If the pledged item is a cloak, it must be returned before sunset so the poor man can sleep in it</w:t>
            </w:r>
          </w:p>
        </w:tc>
        <w:tc>
          <w:tcPr/>
          <w:p>
            <w:pPr>
              <w:pStyle w:val="Compact"/>
            </w:pPr>
            <w:r>
              <w:t xml:space="preserve">Humanitarian obligation overrides commercial right; God’s watchfulness over the poor invoked</w:t>
            </w:r>
          </w:p>
        </w:tc>
      </w:tr>
      <w:tr>
        <w:tc>
          <w:tcPr/>
          <w:p>
            <w:pPr>
              <w:pStyle w:val="Compact"/>
            </w:pPr>
            <w:r>
              <w:t xml:space="preserve">14–15</w:t>
            </w:r>
          </w:p>
        </w:tc>
        <w:tc>
          <w:tcPr/>
          <w:p>
            <w:pPr>
              <w:pStyle w:val="Compact"/>
            </w:pPr>
            <w:r>
              <w:t xml:space="preserve">Wages must be paid to hired workers — including resident aliens — on the same day; withholding is a sin that calls out to God</w:t>
            </w:r>
          </w:p>
        </w:tc>
        <w:tc>
          <w:tcPr/>
          <w:p>
            <w:pPr>
              <w:pStyle w:val="Compact"/>
            </w:pPr>
            <w:r>
              <w:t xml:space="preserve">“He may cry to the LORD against you, and it will be sin in you”</w:t>
            </w:r>
            <w:r>
              <w:t xml:space="preserve"> </w:t>
            </w:r>
            <w:r>
              <w:t xml:space="preserve">— divine accountability for economic exploitation</w:t>
            </w:r>
          </w:p>
        </w:tc>
      </w:tr>
      <w:tr>
        <w:tc>
          <w:tcPr/>
          <w:p>
            <w:pPr>
              <w:pStyle w:val="Compact"/>
            </w:pPr>
            <w:r>
              <w:t xml:space="preserve">16</w:t>
            </w:r>
          </w:p>
        </w:tc>
        <w:tc>
          <w:tcPr/>
          <w:p>
            <w:pPr>
              <w:pStyle w:val="Compact"/>
            </w:pPr>
            <w:r>
              <w:t xml:space="preserve">Individual culpability: fathers shall not be put to death for children’s sins, nor children for fathers’; each dies for his own sin</w:t>
            </w:r>
          </w:p>
        </w:tc>
        <w:tc>
          <w:tcPr/>
          <w:p>
            <w:pPr>
              <w:pStyle w:val="Compact"/>
            </w:pPr>
            <w:r>
              <w:t xml:space="preserve">Juridical principle of individual accountability; may also function as implicit contrast with Egypt’s practices</w:t>
            </w:r>
          </w:p>
        </w:tc>
      </w:tr>
      <w:tr>
        <w:tc>
          <w:tcPr/>
          <w:p>
            <w:pPr>
              <w:pStyle w:val="Compact"/>
            </w:pPr>
            <w:r>
              <w:t xml:space="preserve">17</w:t>
            </w:r>
          </w:p>
        </w:tc>
        <w:tc>
          <w:tcPr/>
          <w:p>
            <w:pPr>
              <w:pStyle w:val="Compact"/>
            </w:pPr>
            <w:r>
              <w:t xml:space="preserve">Do not deprive the alien or the fatherless of justice; do not take the widow’s cloak as pledge</w:t>
            </w:r>
          </w:p>
        </w:tc>
        <w:tc>
          <w:tcPr/>
          <w:p>
            <w:pPr>
              <w:pStyle w:val="Compact"/>
            </w:pPr>
            <w:r>
              <w:t xml:space="preserve">Triad of the vulnerable — alien, orphan, widow — receives explicit legal protection</w:t>
            </w:r>
          </w:p>
        </w:tc>
      </w:tr>
      <w:tr>
        <w:tc>
          <w:tcPr/>
          <w:p>
            <w:pPr>
              <w:pStyle w:val="Compact"/>
            </w:pPr>
            <w:r>
              <w:t xml:space="preserve">18</w:t>
            </w:r>
          </w:p>
        </w:tc>
        <w:tc>
          <w:tcPr/>
          <w:p>
            <w:pPr>
              <w:pStyle w:val="Compact"/>
            </w:pPr>
            <w:r>
              <w:t xml:space="preserve">Motivational grounding:</w:t>
            </w:r>
            <w:r>
              <w:t xml:space="preserve"> </w:t>
            </w:r>
            <w:r>
              <w:t xml:space="preserve">“remember that you were a slave in Egypt and the LORD your God redeemed you from there”</w:t>
            </w:r>
          </w:p>
        </w:tc>
        <w:tc>
          <w:tcPr/>
          <w:p>
            <w:pPr>
              <w:pStyle w:val="Compact"/>
            </w:pPr>
            <w:r>
              <w:t xml:space="preserve">First occurrence of the Exodus-memory refrain in this chapter; theological engine of all humanitarian obligation</w:t>
            </w:r>
          </w:p>
        </w:tc>
      </w:tr>
      <w:tr>
        <w:tc>
          <w:tcPr/>
          <w:p>
            <w:pPr>
              <w:pStyle w:val="Compact"/>
            </w:pPr>
            <w:r>
              <w:t xml:space="preserve">19–21</w:t>
            </w:r>
          </w:p>
        </w:tc>
        <w:tc>
          <w:tcPr/>
          <w:p>
            <w:pPr>
              <w:pStyle w:val="Compact"/>
            </w:pPr>
            <w:r>
              <w:t xml:space="preserve">Gleaning laws: do not go back for forgotten sheaves, do not strip olive trees or vineyards a second time; leave it for the alien, orphan, and widow</w:t>
            </w:r>
          </w:p>
        </w:tc>
        <w:tc>
          <w:tcPr/>
          <w:p>
            <w:pPr>
              <w:pStyle w:val="Compact"/>
            </w:pPr>
            <w:r>
              <w:t xml:space="preserve">Not mere charity but structured provision; the vulnerability of the beneficiaries matches Israel’s own former vulnerability</w:t>
            </w:r>
          </w:p>
        </w:tc>
      </w:tr>
      <w:tr>
        <w:tc>
          <w:tcPr/>
          <w:p>
            <w:pPr>
              <w:pStyle w:val="Compact"/>
            </w:pPr>
            <w:r>
              <w:t xml:space="preserve">22</w:t>
            </w:r>
          </w:p>
        </w:tc>
        <w:tc>
          <w:tcPr/>
          <w:p>
            <w:pPr>
              <w:pStyle w:val="Compact"/>
            </w:pPr>
            <w:r>
              <w:t xml:space="preserve">Second occurrence of the Exodus-memory motivational refrain:</w:t>
            </w:r>
            <w:r>
              <w:t xml:space="preserve"> </w:t>
            </w:r>
            <w:r>
              <w:t xml:space="preserve">“remember that you were a slave in Egypt”</w:t>
            </w:r>
          </w:p>
        </w:tc>
        <w:tc>
          <w:tcPr/>
          <w:p>
            <w:pPr>
              <w:pStyle w:val="Compact"/>
            </w:pPr>
            <w:r>
              <w:t xml:space="preserve">Bookends the gleaning section; the entire chapter’s humanitarian logic is grounded in redemptive identity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Marriage Protected: The Dismissed Wife Cannot Be Reclaimed</w:t>
            </w:r>
          </w:p>
        </w:tc>
      </w:tr>
      <w:tr>
        <w:tc>
          <w:tcPr/>
          <w:p>
            <w:pPr>
              <w:pStyle w:val="Compact"/>
            </w:pPr>
            <w:r>
              <w:t xml:space="preserve">2</w:t>
            </w:r>
          </w:p>
        </w:tc>
        <w:tc>
          <w:tcPr/>
          <w:p>
            <w:pPr>
              <w:pStyle w:val="Compact"/>
            </w:pPr>
            <w:r>
              <w:t xml:space="preserve">5</w:t>
            </w:r>
          </w:p>
        </w:tc>
        <w:tc>
          <w:tcPr/>
          <w:p>
            <w:pPr>
              <w:pStyle w:val="Compact"/>
            </w:pPr>
            <w:r>
              <w:t xml:space="preserve">Marriage Honored: The Newlywed Husband Stays Home</w:t>
            </w:r>
          </w:p>
        </w:tc>
      </w:tr>
      <w:tr>
        <w:tc>
          <w:tcPr/>
          <w:p>
            <w:pPr>
              <w:pStyle w:val="Compact"/>
            </w:pPr>
            <w:r>
              <w:t xml:space="preserve">3</w:t>
            </w:r>
          </w:p>
        </w:tc>
        <w:tc>
          <w:tcPr/>
          <w:p>
            <w:pPr>
              <w:pStyle w:val="Compact"/>
            </w:pPr>
            <w:r>
              <w:t xml:space="preserve">6–7</w:t>
            </w:r>
          </w:p>
        </w:tc>
        <w:tc>
          <w:tcPr/>
          <w:p>
            <w:pPr>
              <w:pStyle w:val="Compact"/>
            </w:pPr>
            <w:r>
              <w:t xml:space="preserve">Life Protected: No One May Seize What Sustains or Enslaves</w:t>
            </w:r>
          </w:p>
        </w:tc>
      </w:tr>
      <w:tr>
        <w:tc>
          <w:tcPr/>
          <w:p>
            <w:pPr>
              <w:pStyle w:val="Compact"/>
            </w:pPr>
            <w:r>
              <w:t xml:space="preserve">4</w:t>
            </w:r>
          </w:p>
        </w:tc>
        <w:tc>
          <w:tcPr/>
          <w:p>
            <w:pPr>
              <w:pStyle w:val="Compact"/>
            </w:pPr>
            <w:r>
              <w:t xml:space="preserve">8–9</w:t>
            </w:r>
          </w:p>
        </w:tc>
        <w:tc>
          <w:tcPr/>
          <w:p>
            <w:pPr>
              <w:pStyle w:val="Compact"/>
            </w:pPr>
            <w:r>
              <w:t xml:space="preserve">Community Protected: Priestly Order and the Memory of Miriam</w:t>
            </w:r>
          </w:p>
        </w:tc>
      </w:tr>
      <w:tr>
        <w:tc>
          <w:tcPr/>
          <w:p>
            <w:pPr>
              <w:pStyle w:val="Compact"/>
            </w:pPr>
            <w:r>
              <w:t xml:space="preserve">5</w:t>
            </w:r>
          </w:p>
        </w:tc>
        <w:tc>
          <w:tcPr/>
          <w:p>
            <w:pPr>
              <w:pStyle w:val="Compact"/>
            </w:pPr>
            <w:r>
              <w:t xml:space="preserve">10–13</w:t>
            </w:r>
          </w:p>
        </w:tc>
        <w:tc>
          <w:tcPr/>
          <w:p>
            <w:pPr>
              <w:pStyle w:val="Compact"/>
            </w:pPr>
            <w:r>
              <w:t xml:space="preserve">Dignity Protected: The Creditor’s Power Ends at the Poor Man’s Door</w:t>
            </w:r>
          </w:p>
        </w:tc>
      </w:tr>
      <w:tr>
        <w:tc>
          <w:tcPr/>
          <w:p>
            <w:pPr>
              <w:pStyle w:val="Compact"/>
            </w:pPr>
            <w:r>
              <w:t xml:space="preserve">6</w:t>
            </w:r>
          </w:p>
        </w:tc>
        <w:tc>
          <w:tcPr/>
          <w:p>
            <w:pPr>
              <w:pStyle w:val="Compact"/>
            </w:pPr>
            <w:r>
              <w:t xml:space="preserve">14–15</w:t>
            </w:r>
          </w:p>
        </w:tc>
        <w:tc>
          <w:tcPr/>
          <w:p>
            <w:pPr>
              <w:pStyle w:val="Compact"/>
            </w:pPr>
            <w:r>
              <w:t xml:space="preserve">Labor Protected: The Worker’s Wage Is Not the Employer’s Option</w:t>
            </w:r>
          </w:p>
        </w:tc>
      </w:tr>
      <w:tr>
        <w:tc>
          <w:tcPr/>
          <w:p>
            <w:pPr>
              <w:pStyle w:val="Compact"/>
            </w:pPr>
            <w:r>
              <w:t xml:space="preserve">7</w:t>
            </w:r>
          </w:p>
        </w:tc>
        <w:tc>
          <w:tcPr/>
          <w:p>
            <w:pPr>
              <w:pStyle w:val="Compact"/>
            </w:pPr>
            <w:r>
              <w:t xml:space="preserve">16</w:t>
            </w:r>
          </w:p>
        </w:tc>
        <w:tc>
          <w:tcPr/>
          <w:p>
            <w:pPr>
              <w:pStyle w:val="Compact"/>
            </w:pPr>
            <w:r>
              <w:t xml:space="preserve">Accountability Protected: Each Person Dies for His Own Sin</w:t>
            </w:r>
          </w:p>
        </w:tc>
      </w:tr>
      <w:tr>
        <w:tc>
          <w:tcPr/>
          <w:p>
            <w:pPr>
              <w:pStyle w:val="Compact"/>
            </w:pPr>
            <w:r>
              <w:t xml:space="preserve">8</w:t>
            </w:r>
          </w:p>
        </w:tc>
        <w:tc>
          <w:tcPr/>
          <w:p>
            <w:pPr>
              <w:pStyle w:val="Compact"/>
            </w:pPr>
            <w:r>
              <w:t xml:space="preserve">17–18</w:t>
            </w:r>
          </w:p>
        </w:tc>
        <w:tc>
          <w:tcPr/>
          <w:p>
            <w:pPr>
              <w:pStyle w:val="Compact"/>
            </w:pPr>
            <w:r>
              <w:t xml:space="preserve">The Triad of Vulnerability: Alien, Orphan, Widow — Grounded in Exodus Memory</w:t>
            </w:r>
          </w:p>
        </w:tc>
      </w:tr>
      <w:tr>
        <w:tc>
          <w:tcPr/>
          <w:p>
            <w:pPr>
              <w:pStyle w:val="Compact"/>
            </w:pPr>
            <w:r>
              <w:t xml:space="preserve">9</w:t>
            </w:r>
          </w:p>
        </w:tc>
        <w:tc>
          <w:tcPr/>
          <w:p>
            <w:pPr>
              <w:pStyle w:val="Compact"/>
            </w:pPr>
            <w:r>
              <w:t xml:space="preserve">19–22</w:t>
            </w:r>
          </w:p>
        </w:tc>
        <w:tc>
          <w:tcPr/>
          <w:p>
            <w:pPr>
              <w:pStyle w:val="Compact"/>
            </w:pPr>
            <w:r>
              <w:t xml:space="preserve">Harvest Released: The Gleaning Laws and the Theology of Enough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Redeemed people reflect their Redeemer through justice and mercy toward the vulnerable.</w:t>
      </w:r>
    </w:p>
    <w:p>
      <w:pPr>
        <w:pStyle w:val="BodyText"/>
      </w:pPr>
      <w:r>
        <w:rPr>
          <w:b/>
          <w:bCs/>
        </w:rPr>
        <w:t xml:space="preserve">Primary Claim:</w:t>
      </w:r>
      <w:r>
        <w:t xml:space="preserve"> </w:t>
      </w:r>
      <w:r>
        <w:t xml:space="preserve">Because Israel was redeemed by grace when they were themselves the powerless and the foreign, God calls them to structure every dimension of communal life — marriage, commerce, labor, and harvest — around the protection and dignity of the weak, mirroring the character of the God who saved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memory of your own redemption is actively shaping how you treat people with less power than you.</w:t>
      </w:r>
      <w:r>
        <w:t xml:space="preserve"> </w:t>
      </w:r>
      <w:r>
        <w:rPr>
          <w:i/>
          <w:iCs/>
        </w:rPr>
        <w:t xml:space="preserve">(Mind/belief)</w:t>
      </w:r>
      <w:r>
        <w:t xml:space="preserve"> </w:t>
      </w:r>
      <w:r>
        <w:t xml:space="preserve">The twice-repeated refrain</w:t>
      </w:r>
      <w:r>
        <w:t xml:space="preserve"> </w:t>
      </w:r>
      <w:r>
        <w:t xml:space="preserve">“remember that you were a slave in Egypt”</w:t>
      </w:r>
      <w:r>
        <w:t xml:space="preserve"> </w:t>
      </w:r>
      <w:r>
        <w:t xml:space="preserve">is not sentimental — it is the theological foundation of every obligation in this chapter. The person who genuinely remembers that God found them powerless, foreign, and enslaved cannot treat the powerless person before them as an inconvenience or an abstraction. Ask honestly: has your identity as a redeemed person changed how you treat your employees, your tenants, your debtors, the immigrant family in your neighborhood, the single mother in your congregation? Or does your Christianity sit in one compartment while your economic and relational life operates by other rules entirely? The redemptive memory that drives Deuteronomy 24 is not background theology — it is the</w:t>
      </w:r>
      <w:r>
        <w:t xml:space="preserve"> </w:t>
      </w:r>
      <w:r>
        <w:rPr>
          <w:i/>
          <w:iCs/>
        </w:rPr>
        <w:t xml:space="preserve">engine</w:t>
      </w:r>
      <w:r>
        <w:t xml:space="preserve"> </w:t>
      </w:r>
      <w:r>
        <w:t xml:space="preserve">of daily conduct.</w:t>
      </w:r>
    </w:p>
    <w:p>
      <w:pPr>
        <w:pStyle w:val="BodyText"/>
      </w:pPr>
      <w:r>
        <w:rPr>
          <w:b/>
          <w:bCs/>
        </w:rPr>
        <w:t xml:space="preserve">2. Repent of the specifically economic sins this chapter names and refuse to spiritualize them away.</w:t>
      </w:r>
      <w:r>
        <w:t xml:space="preserve"> </w:t>
      </w:r>
      <w:r>
        <w:rPr>
          <w:i/>
          <w:iCs/>
        </w:rPr>
        <w:t xml:space="preserve">(Will/behavior)</w:t>
      </w:r>
      <w:r>
        <w:t xml:space="preserve"> </w:t>
      </w:r>
      <w:r>
        <w:t xml:space="preserve">Deuteronomy 24 names concrete economic sins with striking specificity: withholding a worker’s same-day wage (vv. 14–15), using a poor person’s essential asset as loan collateral (v. 6), seizing a widow’s cloak as pledge (v. 17). These are not metaphors for spiritual conditions — they are descriptions of how the economically powerful extract advantage from the economically vulnerable. The chapter calls these sins that cry out to God. Christians who participate in systems or practices that extract labor without fair compensation, that trap people in debt using their necessities as leverage, that treat the poor as instruments of profit rather than image-bearers deserving dignity, are participating in exactly what this passage condemns. The application is not to</w:t>
      </w:r>
      <w:r>
        <w:t xml:space="preserve"> </w:t>
      </w:r>
      <w:r>
        <w:t xml:space="preserve">“care about poverty in general”</w:t>
      </w:r>
      <w:r>
        <w:t xml:space="preserve"> </w:t>
      </w:r>
      <w:r>
        <w:t xml:space="preserve">but to audit specific economic practices and relationships with the same precision the law applies.</w:t>
      </w:r>
    </w:p>
    <w:p>
      <w:pPr>
        <w:pStyle w:val="BodyText"/>
      </w:pPr>
      <w:r>
        <w:rPr>
          <w:b/>
          <w:bCs/>
        </w:rPr>
        <w:t xml:space="preserve">3. Let Christ’s own dispossession become the deepest motivation for your generosity toward the vulnerable.</w:t>
      </w:r>
      <w:r>
        <w:t xml:space="preserve"> </w:t>
      </w:r>
      <w:r>
        <w:rPr>
          <w:i/>
          <w:iCs/>
        </w:rPr>
        <w:t xml:space="preserve">(Affections/worship)</w:t>
      </w:r>
      <w:r>
        <w:t xml:space="preserve"> </w:t>
      </w:r>
      <w:r>
        <w:t xml:space="preserve">The gleaning laws ask Israelite landowners to let go of a portion of what is legally theirs — the forgotten sheaf, the second pass through the vineyard — so that those with nothing can eat. The motivation is always theological: you were once the one with nothing, and God provided. But in Christ, this logic reaches its fullest form. The one who owned everything became poor so that the poor might become rich (2 Corinthians 8:9). Meditate on this until it changes the emotional register of your giving — until your generosity is not reluctant compliance with an obligation but the overflow of a heart genuinely astonished that the Lord of the harvest left the sheaf for you when you were the alien and the orphan with no claim on His field at all.</w:t>
      </w:r>
    </w:p>
    <w:p>
      <w:pPr>
        <w:pStyle w:val="BodyText"/>
      </w:pPr>
      <w:r>
        <w:rPr>
          <w:b/>
          <w:bCs/>
        </w:rPr>
        <w:t xml:space="preserve">4. Refuse the reduction of Christian ethics to private morality, and take seriously your obligation to the triad of the vulnerable — the alien, the orphan, the widow.</w:t>
      </w:r>
      <w:r>
        <w:t xml:space="preserve"> </w:t>
      </w:r>
      <w:r>
        <w:rPr>
          <w:i/>
          <w:iCs/>
        </w:rPr>
        <w:t xml:space="preserve">(Mind/belief)</w:t>
      </w:r>
      <w:r>
        <w:t xml:space="preserve"> </w:t>
      </w:r>
      <w:r>
        <w:t xml:space="preserve">Deuteronomy 24 identifies a recurring triad of vulnerable people — the resident alien, the fatherless child, the widow — and structures specific legal protections around them. These are not marginal categories; they represent the structural conditions that leave people without the social networks and economic power that protect most people most of the time. The contemporary equivalents are not hard to identify: undocumented immigrants, children in foster care or single-parent households, women widowed young or abandoned in middle age. Christian ethics that focuses only on personal virtue and ignores structured community obligation toward these specific categories of the vulnerable has not read Deuteronomy 24 honestly. This is not political activism — it is covenant faithfulness. Ask: does your church, your household, your economic life have any structured provision for these three categories of people?</w:t>
      </w:r>
    </w:p>
    <w:p>
      <w:pPr>
        <w:pStyle w:val="BodyText"/>
      </w:pPr>
      <w:r>
        <w:rPr>
          <w:b/>
          <w:bCs/>
        </w:rPr>
        <w:t xml:space="preserve">5. Where marriages in your community have broken down, work to ensure that the most vulnerable party — usually the woman, the children — is protected, not exploited.</w:t>
      </w:r>
      <w:r>
        <w:t xml:space="preserve"> </w:t>
      </w:r>
      <w:r>
        <w:rPr>
          <w:i/>
          <w:iCs/>
        </w:rPr>
        <w:t xml:space="preserve">(Will/behavior)</w:t>
      </w:r>
      <w:r>
        <w:t xml:space="preserve"> </w:t>
      </w:r>
      <w:r>
        <w:t xml:space="preserve">The divorce legislation of vv. 1–4 does not endorse divorce, but it does something specific and important: it limits the power of the person with more social and economic leverage (the husband in the ancient Near Eastern context) from treating the dismissed spouse as property to be reclaimed at will. The bill of divorce creates a legal status that protects her freedom. In contemporary terms, the principle is this: when marriages end — and they do, in a fallen world, in every congregation — the church’s obligation is not only to mourn the dissolution but to ensure that the more vulnerable party (statistically, women and children) is protected from exploitation, abandonment without support, and the use of legal processes to leverage power. Reformed congregations that care deeply about the theology of marriage must care equally about the protection of the people most damaged when marriages fail.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24 teaches that God’s character is specifically attentive to the powerless — that He hears the cry of the exploited worker (v. 15), sees the dignity of the debtor (vv. 10–13), and stands guard over the alien, the orphan, and the widow (v. 17). This is not incidental to God’s character but central to it. The chapter grounds every humanitarian obligation in the nature of God as Redeemer — the God who acted when Israel was powerless, foreign, and enslaved is the same God who holds creditors accountable for taking millstones and employers accountable for withholding wages. The theological logic is explicit and repeated: because</w:t>
      </w:r>
      <w:r>
        <w:t xml:space="preserve"> </w:t>
      </w:r>
      <w:r>
        <w:rPr>
          <w:i/>
          <w:iCs/>
        </w:rPr>
        <w:t xml:space="preserve">this</w:t>
      </w:r>
      <w:r>
        <w:t xml:space="preserve"> </w:t>
      </w:r>
      <w:r>
        <w:t xml:space="preserve">God redeemed</w:t>
      </w:r>
      <w:r>
        <w:t xml:space="preserve"> </w:t>
      </w:r>
      <w:r>
        <w:rPr>
          <w:i/>
          <w:iCs/>
        </w:rPr>
        <w:t xml:space="preserve">you</w:t>
      </w:r>
      <w:r>
        <w:t xml:space="preserve"> </w:t>
      </w:r>
      <w:r>
        <w:t xml:space="preserve">from</w:t>
      </w:r>
      <w:r>
        <w:t xml:space="preserve"> </w:t>
      </w:r>
      <w:r>
        <w:rPr>
          <w:i/>
          <w:iCs/>
        </w:rPr>
        <w:t xml:space="preserve">that</w:t>
      </w:r>
      <w:r>
        <w:t xml:space="preserve"> </w:t>
      </w:r>
      <w:r>
        <w:t xml:space="preserve">condition, you must now structure your communal life to protect others in comparable conditions. God’s justice and mercy are not opposed — they coinhere in the character of the Redeemer, and both find concrete expression in the legal code of His redeemed community.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grace alone as the basis of salvation finds a striking structural parallel in the theological logic of Deuteronomy 24: Israel’s obligation to protect the vulnerable is not earned by the vulnerable nor optional for the redeemed — it flows necessarily from the character of the God who saves by grace. This chapter guards against two distortions that Reformed exposition must resist. The first is the reduction of the law to a moral catalog with no gospel engine — the Exodus-memory refrain is not an afterthought but the theological heartbeat that makes these laws</w:t>
      </w:r>
      <w:r>
        <w:t xml:space="preserve"> </w:t>
      </w:r>
      <w:r>
        <w:rPr>
          <w:i/>
          <w:iCs/>
        </w:rPr>
        <w:t xml:space="preserve">gospel law</w:t>
      </w:r>
      <w:r>
        <w:t xml:space="preserve">. The second is the reduction of the gospel to private justification with no community-shaping force — these statutes are addressed to a redeemed community and demand that redemption take structural form in how the community treats its weakest members. The gleaning laws in particular display a theology of sufficiency grounded in covenant trust: the landowner who leaves the edges of the field unharvested is not merely being generous — he is confessing that the land is the LORD’s, that his ownership is stewardship, and that the Redeemer who provided for him also provides for others through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were the slave. You were the alien. You were the one with nothing. And the LORD redeemed you — not because of your power or your claim, but by grace. Now go build a life, a household, a community that looks like that. Pay the worker today. Return the cloak before dark. Leave something in the field. The way you treat the person with less power than you is the most honest answer to the question of whether you have actually understood what happened to you in Egypt.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Deuteronomy 24 as a social ethics lecture rather than gospel-grounded identity formation.</w:t>
      </w:r>
      <w:r>
        <w:t xml:space="preserve"> </w:t>
      </w:r>
      <w:r>
        <w:t xml:space="preserve">The most common failure with this chapter is to move quickly to the humanitarian applications while bypassing the theological engine:</w:t>
      </w:r>
      <w:r>
        <w:t xml:space="preserve"> </w:t>
      </w:r>
      <w:r>
        <w:t xml:space="preserve">“remember that you were a slave in Egypt and the LORD your God redeemed you.”</w:t>
      </w:r>
      <w:r>
        <w:t xml:space="preserve"> </w:t>
      </w:r>
      <w:r>
        <w:t xml:space="preserve">Every application in this chapter hangs on that hook. A sermon that generates behavioral applications without first anchoring them in the Exodus-memory refrain will produce guilt-driven compliance at best, not the overflow of a redeemed heart. Preach the</w:t>
      </w:r>
      <w:r>
        <w:t xml:space="preserve"> </w:t>
      </w:r>
      <w:r>
        <w:t xml:space="preserve">“remember”</w:t>
      </w:r>
      <w:r>
        <w:t xml:space="preserve"> </w:t>
      </w:r>
      <w:r>
        <w:t xml:space="preserve">before you preach the obligation.</w:t>
      </w:r>
    </w:p>
    <w:p>
      <w:pPr>
        <w:numPr>
          <w:ilvl w:val="0"/>
          <w:numId w:val="1002"/>
        </w:numPr>
      </w:pPr>
      <w:r>
        <w:rPr>
          <w:b/>
          <w:bCs/>
        </w:rPr>
        <w:t xml:space="preserve">Reading vv. 1–4 as God’s endorsement of divorce.</w:t>
      </w:r>
      <w:r>
        <w:t xml:space="preserve"> </w:t>
      </w:r>
      <w:r>
        <w:t xml:space="preserve">This is a historically recurring misreading. The passage regulates an existing practice in order to protect the dismissed wife — it does not authorize divorce as a good or neutral option. Jesus’s own reading (Matthew 19:8) explicitly frames Mosaic divorce permission as a concession to</w:t>
      </w:r>
      <w:r>
        <w:t xml:space="preserve"> </w:t>
      </w:r>
      <w:r>
        <w:t xml:space="preserve">“hardness of heart,”</w:t>
      </w:r>
      <w:r>
        <w:t xml:space="preserve"> </w:t>
      </w:r>
      <w:r>
        <w:t xml:space="preserve">not a divine ideal. Preachers must state clearly what the text is doing: it is limiting the power of the man who has already dismissed his wife, not granting moral permission for dismissal. Failing to make this distinction leaves congregants with the impression that the Old Testament endorses what Jesus identifies as a concession to sin.</w:t>
      </w:r>
    </w:p>
    <w:p>
      <w:pPr>
        <w:numPr>
          <w:ilvl w:val="0"/>
          <w:numId w:val="1002"/>
        </w:numPr>
      </w:pPr>
      <w:r>
        <w:rPr>
          <w:b/>
          <w:bCs/>
        </w:rPr>
        <w:t xml:space="preserve">Applying the gleaning laws as a template for state-enforced redistribution.</w:t>
      </w:r>
      <w:r>
        <w:t xml:space="preserve"> </w:t>
      </w:r>
      <w:r>
        <w:t xml:space="preserve">The gleaning laws establish genuine social obligation, but the obligation is structured as covenant faithfulness before God (</w:t>
      </w:r>
      <w:r>
        <w:t xml:space="preserve">“I am the LORD your God”</w:t>
      </w:r>
      <w:r>
        <w:t xml:space="preserve">), not as a social contract or political program. The motivation is always theological and the mechanism is always voluntary — the landowner leaves the edges; the poor person comes to gather. Turning this into an argument for specific contemporary economic or taxation policies imports a political framework the text does not contain. The appropriate application is to the community of faith and to individual economic practice, not to electoral policy.</w:t>
      </w:r>
    </w:p>
    <w:p>
      <w:pPr>
        <w:numPr>
          <w:ilvl w:val="0"/>
          <w:numId w:val="1002"/>
        </w:numPr>
      </w:pPr>
      <w:r>
        <w:rPr>
          <w:b/>
          <w:bCs/>
        </w:rPr>
        <w:t xml:space="preserve">Treating the chapter’s statutes as a miscellaneous collection with no unifying logic.</w:t>
      </w:r>
      <w:r>
        <w:t xml:space="preserve"> </w:t>
      </w:r>
      <w:r>
        <w:t xml:space="preserve">Deuteronomy 24 appears, on surface reading, to be a loosely assembled collection of unrelated laws. This leads preachers either to skip the chapter entirely or to preach disconnected topical applications from individual statutes. The unifying logic is the theology of redemption: every statute in this chapter is an expression of what it looks like for a redeemed community to reflect their Redeemer’s character. Preach the architecture, not just the furniture.</w:t>
      </w:r>
    </w:p>
    <w:p>
      <w:pPr>
        <w:numPr>
          <w:ilvl w:val="0"/>
          <w:numId w:val="1002"/>
        </w:numPr>
      </w:pPr>
      <w:r>
        <w:rPr>
          <w:b/>
          <w:bCs/>
        </w:rPr>
        <w:t xml:space="preserve">Neglecting the individual culpability principle (v. 16) and its relationship to the chapter’s broader logic.</w:t>
      </w:r>
      <w:r>
        <w:t xml:space="preserve"> </w:t>
      </w:r>
      <w:r>
        <w:t xml:space="preserve">Verse 16 —</w:t>
      </w:r>
      <w:r>
        <w:t xml:space="preserve"> </w:t>
      </w:r>
      <w:r>
        <w:t xml:space="preserve">“each shall be put to death for his own sin”</w:t>
      </w:r>
      <w:r>
        <w:t xml:space="preserve"> </w:t>
      </w:r>
      <w:r>
        <w:t xml:space="preserve">— appears to interrupt the chapter’s humanitarian flow. But it belongs to the same logic: the chapter is about protecting the vulnerable from the unjust exercise of power by those with more of it. Corporate punishment for individual crimes is another form of that unjust power. The principle of individual accountability is the judicial expression of the same dignity that the pledge laws and wage laws protect economically. Skipping v. 16 leaves an important piece of the chapter’s internal coherence unpreached.</w:t>
      </w:r>
    </w:p>
    <w:p>
      <w:pPr>
        <w:numPr>
          <w:ilvl w:val="0"/>
          <w:numId w:val="1002"/>
        </w:numPr>
      </w:pPr>
      <w:r>
        <w:rPr>
          <w:b/>
          <w:bCs/>
        </w:rPr>
        <w:t xml:space="preserve">Failing to show how Christ fulfills the chapter’s humanitarian logic rather than merely extending it.</w:t>
      </w:r>
      <w:r>
        <w:t xml:space="preserve"> </w:t>
      </w:r>
      <w:r>
        <w:t xml:space="preserve">The Exodus-memory refrain grounds Israel’s obligation in their redemption from Egypt. The New Testament grounds Christian obligation in a deeper redemption — Christ’s own becoming-poor so that the poor might become rich (2 Corinthians 8:9), his identification with the alien, the orphan, and the widow (Matthew 25:35–40). A sermon on Deuteronomy 24 that ends at Moses rather than arriving at Christ has not yet preached the full theological logic the chapter sets in motion. The chapter’s engine runs on redemptive memory; show the congregation that they have far more to remember — and therefore far more reason to leave the sheaf in the field.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2026-07-14T21:02:08Z</dcterms:created>
  <dcterms:modified xsi:type="dcterms:W3CDTF">2026-07-14T21:02:08Z</dcterms:modified>
</cp:coreProperties>
</file>

<file path=docProps/custom.xml><?xml version="1.0" encoding="utf-8"?>
<Properties xmlns="http://schemas.openxmlformats.org/officeDocument/2006/custom-properties" xmlns:vt="http://schemas.openxmlformats.org/officeDocument/2006/docPropsVTypes"/>
</file>